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F5B" w:rsidRDefault="00570422">
      <w:pPr>
        <w:jc w:val="center"/>
        <w:rPr>
          <w:rFonts w:ascii="Calibri" w:eastAsia="宋体" w:hAnsi="Calibri" w:cs="Times New Roman"/>
          <w:bCs/>
          <w:szCs w:val="21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武汉理工大学第三届“众创·深耕”创业大赛细则及报名表</w:t>
      </w:r>
    </w:p>
    <w:p w:rsidR="006F5F5B" w:rsidRDefault="00570422">
      <w:pPr>
        <w:spacing w:line="360" w:lineRule="auto"/>
        <w:rPr>
          <w:rFonts w:ascii="仿宋" w:eastAsia="仿宋" w:hAnsi="仿宋" w:cs="仿宋"/>
          <w:bCs/>
          <w:kern w:val="44"/>
          <w:sz w:val="30"/>
          <w:szCs w:val="30"/>
        </w:rPr>
      </w:pPr>
      <w:r>
        <w:rPr>
          <w:rFonts w:ascii="黑体" w:eastAsia="黑体" w:hAnsi="黑体" w:cs="黑体" w:hint="eastAsia"/>
          <w:b/>
          <w:kern w:val="44"/>
          <w:sz w:val="30"/>
          <w:szCs w:val="30"/>
        </w:rPr>
        <w:t>一、时间及流程：</w:t>
      </w:r>
      <w:r>
        <w:rPr>
          <w:rFonts w:ascii="仿宋" w:eastAsia="仿宋" w:hAnsi="仿宋" w:cs="仿宋" w:hint="eastAsia"/>
          <w:bCs/>
          <w:kern w:val="44"/>
          <w:sz w:val="30"/>
          <w:szCs w:val="30"/>
        </w:rPr>
        <w:t xml:space="preserve"> </w:t>
      </w:r>
    </w:p>
    <w:p w:rsidR="006F5F5B" w:rsidRDefault="00570422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1、提交报名表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2018年3月</w:t>
      </w:r>
      <w:r w:rsidR="00F249F6">
        <w:rPr>
          <w:rFonts w:ascii="仿宋_GB2312" w:eastAsia="仿宋_GB2312" w:hAnsi="Times New Roman" w:cs="Times New Roman"/>
          <w:b/>
          <w:bCs/>
          <w:sz w:val="28"/>
          <w:szCs w:val="28"/>
        </w:rPr>
        <w:t>11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日前提交。</w:t>
      </w:r>
    </w:p>
    <w:p w:rsidR="006F5F5B" w:rsidRDefault="00570422">
      <w:pPr>
        <w:spacing w:line="360" w:lineRule="auto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2、提交宣传材料及线上展示：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2018年</w:t>
      </w:r>
      <w:r w:rsidR="00F249F6">
        <w:rPr>
          <w:rFonts w:ascii="仿宋_GB2312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月</w:t>
      </w:r>
      <w:r w:rsidR="00F249F6">
        <w:rPr>
          <w:rFonts w:ascii="仿宋_GB2312" w:eastAsia="仿宋_GB2312" w:hAnsi="Times New Roman" w:cs="Times New Roman"/>
          <w:b/>
          <w:bCs/>
          <w:sz w:val="28"/>
          <w:szCs w:val="28"/>
        </w:rPr>
        <w:t>18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号前提交材料，4月线上展示。</w:t>
      </w:r>
      <w:r>
        <w:rPr>
          <w:rFonts w:ascii="仿宋_GB2312" w:eastAsia="仿宋_GB2312" w:hAnsi="Times New Roman" w:hint="eastAsia"/>
          <w:bCs/>
          <w:sz w:val="24"/>
          <w:szCs w:val="24"/>
        </w:rPr>
        <w:t>宣传材料包括团队成员风采、团队项目及其可行性简介，经济学人协会官方公众号及官方网站分拨推送，推送完毕后采取线上投票，依据线上得票决定最佳人气奖。</w:t>
      </w:r>
    </w:p>
    <w:p w:rsidR="006F5F5B" w:rsidRDefault="00570422">
      <w:pPr>
        <w:spacing w:line="480" w:lineRule="exact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3、提交商业计划书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2018年</w:t>
      </w:r>
      <w:r w:rsidR="00F249F6">
        <w:rPr>
          <w:rFonts w:ascii="仿宋_GB2312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月</w:t>
      </w:r>
      <w:r w:rsidR="00F249F6">
        <w:rPr>
          <w:rFonts w:ascii="仿宋_GB2312" w:eastAsia="仿宋_GB2312" w:hAnsi="Times New Roman" w:cs="Times New Roman"/>
          <w:b/>
          <w:bCs/>
          <w:sz w:val="28"/>
          <w:szCs w:val="28"/>
        </w:rPr>
        <w:t>18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号前提交。</w:t>
      </w:r>
      <w:r>
        <w:rPr>
          <w:rFonts w:ascii="仿宋_GB2312" w:eastAsia="仿宋_GB2312" w:hAnsi="Times New Roman" w:hint="eastAsia"/>
          <w:bCs/>
          <w:sz w:val="24"/>
          <w:szCs w:val="24"/>
        </w:rPr>
        <w:t>届时会有老师指导项目和计划书的修改。（报名表、宣传材料、商业计划书均提交到本次大赛邮箱：</w:t>
      </w:r>
      <w:hyperlink r:id="rId9" w:history="1">
        <w:r w:rsidR="00D20594" w:rsidRPr="002F28D7">
          <w:rPr>
            <w:rStyle w:val="a8"/>
            <w:rFonts w:ascii="仿宋_GB2312" w:eastAsia="仿宋_GB2312" w:hAnsi="Times New Roman" w:hint="eastAsia"/>
            <w:bCs/>
            <w:sz w:val="24"/>
            <w:szCs w:val="24"/>
          </w:rPr>
          <w:t>zcsg</w:t>
        </w:r>
        <w:r w:rsidR="00D20594" w:rsidRPr="002F28D7">
          <w:rPr>
            <w:rStyle w:val="a8"/>
            <w:rFonts w:ascii="仿宋_GB2312" w:eastAsia="仿宋_GB2312" w:hAnsi="Times New Roman"/>
            <w:bCs/>
            <w:sz w:val="24"/>
            <w:szCs w:val="24"/>
          </w:rPr>
          <w:t>ds</w:t>
        </w:r>
        <w:r w:rsidR="00D20594" w:rsidRPr="002F28D7">
          <w:rPr>
            <w:rStyle w:val="a8"/>
            <w:rFonts w:ascii="仿宋_GB2312" w:eastAsia="仿宋_GB2312" w:hAnsi="Times New Roman" w:hint="eastAsia"/>
            <w:bCs/>
            <w:sz w:val="24"/>
            <w:szCs w:val="24"/>
          </w:rPr>
          <w:t>@163.com</w:t>
        </w:r>
      </w:hyperlink>
      <w:r>
        <w:rPr>
          <w:rFonts w:ascii="仿宋_GB2312" w:eastAsia="仿宋_GB2312" w:hAnsi="Times New Roman" w:hint="eastAsia"/>
          <w:bCs/>
          <w:sz w:val="24"/>
          <w:szCs w:val="24"/>
        </w:rPr>
        <w:t>）</w:t>
      </w:r>
    </w:p>
    <w:p w:rsidR="006F5F5B" w:rsidRDefault="00570422">
      <w:pPr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4、项目成果展示答辩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2018年5月4日。</w:t>
      </w:r>
    </w:p>
    <w:p w:rsidR="006F5F5B" w:rsidRDefault="00570422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答辩流程：</w:t>
      </w:r>
    </w:p>
    <w:p w:rsidR="006F5F5B" w:rsidRDefault="00570422">
      <w:pPr>
        <w:spacing w:line="480" w:lineRule="exact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仿宋_GB2312" w:eastAsia="仿宋_GB2312" w:hAnsi="Times New Roman" w:hint="eastAsia"/>
          <w:bCs/>
          <w:sz w:val="24"/>
          <w:szCs w:val="24"/>
        </w:rPr>
        <w:t>（1）主持人介绍评委及嘉宾,对到场的大众评委和观众表示感谢。</w:t>
      </w:r>
    </w:p>
    <w:p w:rsidR="006F5F5B" w:rsidRDefault="00570422">
      <w:pPr>
        <w:spacing w:line="480" w:lineRule="exact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仿宋_GB2312" w:eastAsia="仿宋_GB2312" w:hAnsi="Times New Roman" w:hint="eastAsia"/>
          <w:bCs/>
          <w:sz w:val="24"/>
          <w:szCs w:val="24"/>
        </w:rPr>
        <w:t>（2）参赛团队按顺序依次上台进行PPT展示，每支参赛队伍的展示时间不超过9分钟，专家评委向创业团队进行提问，提问环节不超过6分钟。</w:t>
      </w:r>
    </w:p>
    <w:p w:rsidR="006F5F5B" w:rsidRDefault="00570422">
      <w:pPr>
        <w:spacing w:line="480" w:lineRule="exact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仿宋_GB2312" w:eastAsia="仿宋_GB2312" w:hAnsi="Times New Roman" w:hint="eastAsia"/>
          <w:bCs/>
          <w:sz w:val="24"/>
          <w:szCs w:val="24"/>
        </w:rPr>
        <w:t>（3）所有参赛选手答辩完毕后，根据评委和大众评审团联合打分（百分制平均分，评委</w:t>
      </w:r>
      <w:proofErr w:type="gramStart"/>
      <w:r>
        <w:rPr>
          <w:rFonts w:ascii="仿宋_GB2312" w:eastAsia="仿宋_GB2312" w:hAnsi="Times New Roman" w:hint="eastAsia"/>
          <w:bCs/>
          <w:sz w:val="24"/>
          <w:szCs w:val="24"/>
        </w:rPr>
        <w:t>评分占</w:t>
      </w:r>
      <w:proofErr w:type="gramEnd"/>
      <w:r>
        <w:rPr>
          <w:rFonts w:ascii="仿宋_GB2312" w:eastAsia="仿宋_GB2312" w:hAnsi="Times New Roman" w:hint="eastAsia"/>
          <w:bCs/>
          <w:sz w:val="24"/>
          <w:szCs w:val="24"/>
        </w:rPr>
        <w:t>80%，大众评委</w:t>
      </w:r>
      <w:proofErr w:type="gramStart"/>
      <w:r>
        <w:rPr>
          <w:rFonts w:ascii="仿宋_GB2312" w:eastAsia="仿宋_GB2312" w:hAnsi="Times New Roman" w:hint="eastAsia"/>
          <w:bCs/>
          <w:sz w:val="24"/>
          <w:szCs w:val="24"/>
        </w:rPr>
        <w:t>评分</w:t>
      </w:r>
      <w:proofErr w:type="gramEnd"/>
      <w:r>
        <w:rPr>
          <w:rFonts w:ascii="仿宋_GB2312" w:eastAsia="仿宋_GB2312" w:hAnsi="Times New Roman" w:hint="eastAsia"/>
          <w:bCs/>
          <w:sz w:val="24"/>
          <w:szCs w:val="24"/>
        </w:rPr>
        <w:t>占20%），评选出前九名，5-9名直接评为三等奖，前四名进行角逐。</w:t>
      </w:r>
    </w:p>
    <w:p w:rsidR="006F5F5B" w:rsidRDefault="00570422">
      <w:pPr>
        <w:spacing w:line="480" w:lineRule="exact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仿宋_GB2312" w:eastAsia="仿宋_GB2312" w:hAnsi="Times New Roman" w:hint="eastAsia"/>
          <w:bCs/>
          <w:sz w:val="24"/>
          <w:szCs w:val="24"/>
        </w:rPr>
        <w:t>（4）前四名队伍抽签两两一组，</w:t>
      </w:r>
      <w:proofErr w:type="gramStart"/>
      <w:r>
        <w:rPr>
          <w:rFonts w:ascii="仿宋_GB2312" w:eastAsia="仿宋_GB2312" w:hAnsi="Times New Roman" w:hint="eastAsia"/>
          <w:bCs/>
          <w:sz w:val="24"/>
          <w:szCs w:val="24"/>
        </w:rPr>
        <w:t>进行攻辩环节</w:t>
      </w:r>
      <w:proofErr w:type="gramEnd"/>
      <w:r>
        <w:rPr>
          <w:rFonts w:ascii="仿宋_GB2312" w:eastAsia="仿宋_GB2312" w:hAnsi="Times New Roman" w:hint="eastAsia"/>
          <w:bCs/>
          <w:sz w:val="24"/>
          <w:szCs w:val="24"/>
        </w:rPr>
        <w:t>，</w:t>
      </w:r>
      <w:proofErr w:type="gramStart"/>
      <w:r>
        <w:rPr>
          <w:rFonts w:ascii="仿宋_GB2312" w:eastAsia="仿宋_GB2312" w:hAnsi="Times New Roman" w:hint="eastAsia"/>
          <w:bCs/>
          <w:sz w:val="24"/>
          <w:szCs w:val="24"/>
        </w:rPr>
        <w:t>攻辩环</w:t>
      </w:r>
      <w:proofErr w:type="gramEnd"/>
      <w:r>
        <w:rPr>
          <w:rFonts w:ascii="仿宋_GB2312" w:eastAsia="仿宋_GB2312" w:hAnsi="Times New Roman" w:hint="eastAsia"/>
          <w:bCs/>
          <w:sz w:val="24"/>
          <w:szCs w:val="24"/>
        </w:rPr>
        <w:t>节两队各出一名代表参与，抽签</w:t>
      </w:r>
      <w:proofErr w:type="gramStart"/>
      <w:r>
        <w:rPr>
          <w:rFonts w:ascii="仿宋_GB2312" w:eastAsia="仿宋_GB2312" w:hAnsi="Times New Roman" w:hint="eastAsia"/>
          <w:bCs/>
          <w:sz w:val="24"/>
          <w:szCs w:val="24"/>
        </w:rPr>
        <w:t>决定攻辩顺</w:t>
      </w:r>
      <w:proofErr w:type="gramEnd"/>
      <w:r>
        <w:rPr>
          <w:rFonts w:ascii="仿宋_GB2312" w:eastAsia="仿宋_GB2312" w:hAnsi="Times New Roman" w:hint="eastAsia"/>
          <w:bCs/>
          <w:sz w:val="24"/>
          <w:szCs w:val="24"/>
        </w:rPr>
        <w:t>序。进攻方可提对防守方的答辩和计划书中的内容进行质疑，防守方对进攻方的质疑做出辩解。进攻方质询时间累计1.5分钟，防守方阐述时间累计3分钟，一方时间用完，另一方可继续质询或阐述。每组一轮</w:t>
      </w:r>
      <w:proofErr w:type="gramStart"/>
      <w:r>
        <w:rPr>
          <w:rFonts w:ascii="仿宋_GB2312" w:eastAsia="仿宋_GB2312" w:hAnsi="Times New Roman" w:hint="eastAsia"/>
          <w:bCs/>
          <w:sz w:val="24"/>
          <w:szCs w:val="24"/>
        </w:rPr>
        <w:t>攻辩后</w:t>
      </w:r>
      <w:proofErr w:type="gramEnd"/>
      <w:r>
        <w:rPr>
          <w:rFonts w:ascii="仿宋_GB2312" w:eastAsia="仿宋_GB2312" w:hAnsi="Times New Roman" w:hint="eastAsia"/>
          <w:bCs/>
          <w:sz w:val="24"/>
          <w:szCs w:val="24"/>
        </w:rPr>
        <w:t>攻守易位，再进行一轮。两轮</w:t>
      </w:r>
      <w:proofErr w:type="gramStart"/>
      <w:r>
        <w:rPr>
          <w:rFonts w:ascii="仿宋_GB2312" w:eastAsia="仿宋_GB2312" w:hAnsi="Times New Roman" w:hint="eastAsia"/>
          <w:bCs/>
          <w:sz w:val="24"/>
          <w:szCs w:val="24"/>
        </w:rPr>
        <w:t>攻辩结束</w:t>
      </w:r>
      <w:proofErr w:type="gramEnd"/>
      <w:r>
        <w:rPr>
          <w:rFonts w:ascii="仿宋_GB2312" w:eastAsia="仿宋_GB2312" w:hAnsi="Times New Roman" w:hint="eastAsia"/>
          <w:bCs/>
          <w:sz w:val="24"/>
          <w:szCs w:val="24"/>
        </w:rPr>
        <w:t>后由评委点评并</w:t>
      </w:r>
      <w:proofErr w:type="gramStart"/>
      <w:r>
        <w:rPr>
          <w:rFonts w:ascii="仿宋_GB2312" w:eastAsia="仿宋_GB2312" w:hAnsi="Times New Roman" w:hint="eastAsia"/>
          <w:bCs/>
          <w:sz w:val="24"/>
          <w:szCs w:val="24"/>
        </w:rPr>
        <w:t>决出获</w:t>
      </w:r>
      <w:proofErr w:type="gramEnd"/>
      <w:r>
        <w:rPr>
          <w:rFonts w:ascii="仿宋_GB2312" w:eastAsia="仿宋_GB2312" w:hAnsi="Times New Roman" w:hint="eastAsia"/>
          <w:bCs/>
          <w:sz w:val="24"/>
          <w:szCs w:val="24"/>
        </w:rPr>
        <w:t>胜方，败方评为二奖，两组的获胜方再进行一轮交锋，胜者一奖，败者二奖。</w:t>
      </w:r>
    </w:p>
    <w:p w:rsidR="006F5F5B" w:rsidRDefault="00570422">
      <w:pPr>
        <w:spacing w:line="480" w:lineRule="exact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仿宋_GB2312" w:eastAsia="仿宋_GB2312" w:hAnsi="Times New Roman" w:hint="eastAsia"/>
          <w:bCs/>
          <w:sz w:val="24"/>
          <w:szCs w:val="24"/>
        </w:rPr>
        <w:t>（5）举行颁奖典礼，为一、二、三等奖颁发荣誉证书和奖励。</w:t>
      </w:r>
    </w:p>
    <w:p w:rsidR="006F5F5B" w:rsidRDefault="00570422">
      <w:pPr>
        <w:spacing w:line="480" w:lineRule="exact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仿宋_GB2312" w:eastAsia="仿宋_GB2312" w:hAnsi="Times New Roman" w:hint="eastAsia"/>
          <w:bCs/>
          <w:sz w:val="24"/>
          <w:szCs w:val="24"/>
        </w:rPr>
        <w:lastRenderedPageBreak/>
        <w:t>（6）嘉宾、评委及获奖团队合影留念。</w:t>
      </w:r>
    </w:p>
    <w:p w:rsidR="006F5F5B" w:rsidRDefault="00570422">
      <w:pPr>
        <w:spacing w:line="360" w:lineRule="auto"/>
        <w:rPr>
          <w:rFonts w:ascii="仿宋_GB2312" w:eastAsia="仿宋_GB2312" w:hAnsi="Times New Roman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5、审核颁奖投资：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2018年5月。</w:t>
      </w:r>
      <w:r>
        <w:rPr>
          <w:rFonts w:ascii="仿宋_GB2312" w:eastAsia="仿宋_GB2312" w:hAnsi="Times New Roman" w:hint="eastAsia"/>
          <w:bCs/>
          <w:sz w:val="24"/>
          <w:szCs w:val="24"/>
        </w:rPr>
        <w:t>征求队伍同意后，在导师的指导下，开展创业实践活动，包括公司的注册，章程建立，各项制度的制定及公司的实际运营。</w:t>
      </w:r>
    </w:p>
    <w:p w:rsidR="006F5F5B" w:rsidRDefault="00570422">
      <w:pPr>
        <w:spacing w:line="36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黑体" w:eastAsia="黑体" w:hAnsi="黑体" w:cs="黑体" w:hint="eastAsia"/>
          <w:b/>
          <w:kern w:val="44"/>
          <w:sz w:val="30"/>
          <w:szCs w:val="30"/>
        </w:rPr>
        <w:t>二、地点</w:t>
      </w:r>
    </w:p>
    <w:p w:rsidR="006F5F5B" w:rsidRDefault="00570422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武汉理工大学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鉴四教学楼创客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空间</w:t>
      </w:r>
    </w:p>
    <w:p w:rsidR="006F5F5B" w:rsidRDefault="00570422">
      <w:pPr>
        <w:spacing w:line="360" w:lineRule="auto"/>
        <w:rPr>
          <w:rFonts w:ascii="黑体" w:eastAsia="黑体" w:hAnsi="黑体" w:cs="黑体"/>
          <w:b/>
          <w:kern w:val="44"/>
          <w:sz w:val="30"/>
          <w:szCs w:val="30"/>
        </w:rPr>
      </w:pPr>
      <w:r>
        <w:rPr>
          <w:rFonts w:ascii="黑体" w:eastAsia="黑体" w:hAnsi="黑体" w:cs="黑体" w:hint="eastAsia"/>
          <w:b/>
          <w:kern w:val="44"/>
          <w:sz w:val="30"/>
          <w:szCs w:val="30"/>
        </w:rPr>
        <w:t>三、答辩注意事项</w:t>
      </w:r>
    </w:p>
    <w:p w:rsidR="006F5F5B" w:rsidRDefault="00570422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1、请各</w:t>
      </w:r>
      <w:r>
        <w:rPr>
          <w:rFonts w:ascii="仿宋_GB2312" w:eastAsia="仿宋_GB2312" w:hAnsi="Times New Roman" w:cs="Times New Roman"/>
          <w:sz w:val="28"/>
          <w:szCs w:val="28"/>
        </w:rPr>
        <w:t>团队成员正装出席本次大赛现场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6F5F5B" w:rsidRDefault="00570422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2、现场答辩环节中，各团队的PPT展示时间不得超过9分钟，超过9分钟者，将被停止讲解，并自动放映完PPT。</w:t>
      </w:r>
    </w:p>
    <w:p w:rsidR="006F5F5B" w:rsidRDefault="00570422">
      <w:pPr>
        <w:spacing w:line="360" w:lineRule="auto"/>
        <w:rPr>
          <w:rFonts w:ascii="Calibri" w:eastAsia="黑体" w:hAnsi="Calibri" w:cs="Times New Roman"/>
          <w:bCs/>
          <w:kern w:val="44"/>
          <w:sz w:val="28"/>
          <w:szCs w:val="44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3、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两两攻辩环节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中，双方在对对方项目进行质疑或为本项目辩解时，忌过激的言语冲突。</w:t>
      </w:r>
    </w:p>
    <w:p w:rsidR="006F5F5B" w:rsidRDefault="006F5F5B">
      <w:pPr>
        <w:keepNext/>
        <w:keepLines/>
        <w:spacing w:before="340" w:after="330" w:line="360" w:lineRule="exact"/>
        <w:jc w:val="left"/>
        <w:outlineLvl w:val="0"/>
        <w:rPr>
          <w:rFonts w:ascii="Calibri" w:eastAsia="黑体" w:hAnsi="Calibri" w:cs="Times New Roman"/>
          <w:bCs/>
          <w:kern w:val="44"/>
          <w:sz w:val="28"/>
          <w:szCs w:val="4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570422">
      <w:pPr>
        <w:keepNext/>
        <w:keepLines/>
        <w:spacing w:before="340" w:after="330" w:line="360" w:lineRule="exact"/>
        <w:jc w:val="left"/>
        <w:outlineLvl w:val="0"/>
        <w:rPr>
          <w:rFonts w:ascii="Calibri" w:eastAsia="黑体" w:hAnsi="Calibri" w:cs="Times New Roman"/>
          <w:bCs/>
          <w:kern w:val="44"/>
          <w:sz w:val="28"/>
          <w:szCs w:val="44"/>
        </w:rPr>
      </w:pPr>
      <w:r>
        <w:rPr>
          <w:rFonts w:ascii="Calibri" w:eastAsia="黑体" w:hAnsi="Calibri" w:cs="Times New Roman" w:hint="eastAsia"/>
          <w:bCs/>
          <w:kern w:val="44"/>
          <w:sz w:val="28"/>
          <w:szCs w:val="44"/>
        </w:rPr>
        <w:lastRenderedPageBreak/>
        <w:t>附件</w:t>
      </w:r>
    </w:p>
    <w:p w:rsidR="006F5F5B" w:rsidRDefault="00570422">
      <w:pPr>
        <w:keepNext/>
        <w:keepLines/>
        <w:spacing w:before="340" w:after="330" w:line="360" w:lineRule="exact"/>
        <w:jc w:val="center"/>
        <w:outlineLvl w:val="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Times New Roman" w:cs="Times New Roman" w:hint="eastAsia"/>
          <w:sz w:val="28"/>
          <w:szCs w:val="28"/>
        </w:rPr>
        <w:t>武汉理工大学第三届“众创</w:t>
      </w:r>
      <w:r>
        <w:rPr>
          <w:rFonts w:ascii="微软雅黑" w:eastAsia="微软雅黑" w:hAnsi="微软雅黑" w:cs="微软雅黑" w:hint="eastAsia"/>
          <w:sz w:val="28"/>
          <w:szCs w:val="28"/>
        </w:rPr>
        <w:t>•</w:t>
      </w:r>
      <w:r>
        <w:rPr>
          <w:rFonts w:ascii="楷体_GB2312" w:eastAsia="楷体_GB2312" w:hAnsi="楷体_GB2312" w:cs="楷体_GB2312" w:hint="eastAsia"/>
          <w:sz w:val="28"/>
          <w:szCs w:val="28"/>
        </w:rPr>
        <w:t>深耕”创业大赛报名表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981"/>
        <w:gridCol w:w="1559"/>
        <w:gridCol w:w="1628"/>
        <w:gridCol w:w="1406"/>
        <w:gridCol w:w="1791"/>
      </w:tblGrid>
      <w:tr w:rsidR="006F5F5B">
        <w:trPr>
          <w:trHeight w:hRule="exact" w:val="570"/>
          <w:jc w:val="center"/>
        </w:trPr>
        <w:tc>
          <w:tcPr>
            <w:tcW w:w="1611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7365" w:type="dxa"/>
            <w:gridSpan w:val="5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64"/>
          <w:jc w:val="center"/>
        </w:trPr>
        <w:tc>
          <w:tcPr>
            <w:tcW w:w="1611" w:type="dxa"/>
            <w:vMerge w:val="restart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团队</w:t>
            </w:r>
          </w:p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981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187" w:type="dxa"/>
            <w:gridSpan w:val="2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58"/>
          <w:jc w:val="center"/>
        </w:trPr>
        <w:tc>
          <w:tcPr>
            <w:tcW w:w="1611" w:type="dxa"/>
            <w:vMerge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3187" w:type="dxa"/>
            <w:gridSpan w:val="2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52"/>
          <w:jc w:val="center"/>
        </w:trPr>
        <w:tc>
          <w:tcPr>
            <w:tcW w:w="1611" w:type="dxa"/>
            <w:vMerge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院系</w:t>
            </w:r>
          </w:p>
        </w:tc>
        <w:tc>
          <w:tcPr>
            <w:tcW w:w="3187" w:type="dxa"/>
            <w:gridSpan w:val="2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所属专业</w:t>
            </w: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74"/>
          <w:jc w:val="center"/>
        </w:trPr>
        <w:tc>
          <w:tcPr>
            <w:tcW w:w="1611" w:type="dxa"/>
            <w:vMerge w:val="restart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团队</w:t>
            </w:r>
          </w:p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981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1628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院系</w:t>
            </w:r>
          </w:p>
        </w:tc>
        <w:tc>
          <w:tcPr>
            <w:tcW w:w="1406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所属专业</w:t>
            </w:r>
          </w:p>
        </w:tc>
        <w:tc>
          <w:tcPr>
            <w:tcW w:w="1791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联系电话</w:t>
            </w:r>
          </w:p>
        </w:tc>
      </w:tr>
      <w:tr w:rsidR="006F5F5B">
        <w:trPr>
          <w:trHeight w:hRule="exact" w:val="568"/>
          <w:jc w:val="center"/>
        </w:trPr>
        <w:tc>
          <w:tcPr>
            <w:tcW w:w="1611" w:type="dxa"/>
            <w:vMerge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06"/>
          <w:jc w:val="center"/>
        </w:trPr>
        <w:tc>
          <w:tcPr>
            <w:tcW w:w="1611" w:type="dxa"/>
            <w:vMerge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41"/>
          <w:jc w:val="center"/>
        </w:trPr>
        <w:tc>
          <w:tcPr>
            <w:tcW w:w="1611" w:type="dxa"/>
            <w:vMerge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41"/>
          <w:jc w:val="center"/>
        </w:trPr>
        <w:tc>
          <w:tcPr>
            <w:tcW w:w="1611" w:type="dxa"/>
            <w:vMerge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41"/>
          <w:jc w:val="center"/>
        </w:trPr>
        <w:tc>
          <w:tcPr>
            <w:tcW w:w="1611" w:type="dxa"/>
            <w:vMerge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hRule="exact" w:val="541"/>
          <w:jc w:val="center"/>
        </w:trPr>
        <w:tc>
          <w:tcPr>
            <w:tcW w:w="1611" w:type="dxa"/>
            <w:vMerge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6F5F5B">
        <w:trPr>
          <w:trHeight w:val="2973"/>
          <w:jc w:val="center"/>
        </w:trPr>
        <w:tc>
          <w:tcPr>
            <w:tcW w:w="1611" w:type="dxa"/>
            <w:vAlign w:val="center"/>
          </w:tcPr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创业项目简介</w:t>
            </w:r>
          </w:p>
          <w:p w:rsidR="006F5F5B" w:rsidRDefault="00570422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（200字以内）</w:t>
            </w:r>
          </w:p>
        </w:tc>
        <w:tc>
          <w:tcPr>
            <w:tcW w:w="7365" w:type="dxa"/>
            <w:gridSpan w:val="5"/>
            <w:vAlign w:val="center"/>
          </w:tcPr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6F5F5B" w:rsidRDefault="006F5F5B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</w:tbl>
    <w:p w:rsidR="006F5F5B" w:rsidRDefault="006F5F5B">
      <w:pPr>
        <w:ind w:rightChars="185" w:right="388"/>
        <w:rPr>
          <w:rFonts w:ascii="仿宋_GB2312" w:eastAsia="仿宋_GB2312" w:hAnsi="仿宋" w:cs="Times New Roman"/>
          <w:sz w:val="24"/>
          <w:szCs w:val="24"/>
        </w:rPr>
      </w:pPr>
    </w:p>
    <w:p w:rsidR="006F5F5B" w:rsidRDefault="00570422">
      <w:pPr>
        <w:ind w:rightChars="185" w:right="388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参赛须知：</w:t>
      </w:r>
    </w:p>
    <w:p w:rsidR="006F5F5B" w:rsidRDefault="00570422">
      <w:pPr>
        <w:ind w:rightChars="185" w:right="388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1、每个参赛团队成员人数不多于7人。团队中</w:t>
      </w:r>
      <w:proofErr w:type="gramStart"/>
      <w:r>
        <w:rPr>
          <w:rFonts w:ascii="仿宋_GB2312" w:eastAsia="仿宋_GB2312" w:hAnsi="仿宋" w:cs="Times New Roman" w:hint="eastAsia"/>
          <w:sz w:val="24"/>
          <w:szCs w:val="24"/>
        </w:rPr>
        <w:t>须包括</w:t>
      </w:r>
      <w:proofErr w:type="gramEnd"/>
      <w:r>
        <w:rPr>
          <w:rFonts w:ascii="仿宋_GB2312" w:eastAsia="仿宋_GB2312" w:hAnsi="仿宋" w:cs="Times New Roman" w:hint="eastAsia"/>
          <w:sz w:val="24"/>
          <w:szCs w:val="24"/>
        </w:rPr>
        <w:t>3名以上武汉理工大学在读本科生及研究生。</w:t>
      </w:r>
    </w:p>
    <w:p w:rsidR="006F5F5B" w:rsidRDefault="00570422">
      <w:pPr>
        <w:ind w:rightChars="185" w:right="388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2、填写比赛报名表，2018年3月</w:t>
      </w:r>
      <w:r w:rsidR="000C5D73">
        <w:rPr>
          <w:rFonts w:ascii="仿宋_GB2312" w:eastAsia="仿宋_GB2312" w:hAnsi="仿宋" w:cs="Times New Roman"/>
          <w:sz w:val="24"/>
          <w:szCs w:val="24"/>
        </w:rPr>
        <w:t>11</w:t>
      </w:r>
      <w:bookmarkStart w:id="0" w:name="_GoBack"/>
      <w:bookmarkEnd w:id="0"/>
      <w:r>
        <w:rPr>
          <w:rFonts w:ascii="仿宋_GB2312" w:eastAsia="仿宋_GB2312" w:hAnsi="仿宋" w:cs="Times New Roman" w:hint="eastAsia"/>
          <w:sz w:val="24"/>
          <w:szCs w:val="24"/>
        </w:rPr>
        <w:t>号前发送至大赛邮箱zcsg</w:t>
      </w:r>
      <w:r w:rsidR="00D20594">
        <w:rPr>
          <w:rFonts w:ascii="仿宋_GB2312" w:eastAsia="仿宋_GB2312" w:hAnsi="仿宋" w:cs="Times New Roman"/>
          <w:sz w:val="24"/>
          <w:szCs w:val="24"/>
        </w:rPr>
        <w:t>ds</w:t>
      </w:r>
      <w:r>
        <w:rPr>
          <w:rFonts w:ascii="仿宋_GB2312" w:eastAsia="仿宋_GB2312" w:hAnsi="仿宋" w:cs="Times New Roman" w:hint="eastAsia"/>
          <w:sz w:val="24"/>
          <w:szCs w:val="24"/>
        </w:rPr>
        <w:t>@163.com.</w:t>
      </w:r>
    </w:p>
    <w:p w:rsidR="006F5F5B" w:rsidRDefault="00570422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3、团队中非在读生，院系和所属专业可以不填。</w:t>
      </w: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6F5F5B" w:rsidRDefault="006F5F5B">
      <w:pPr>
        <w:ind w:rightChars="185" w:right="388"/>
        <w:rPr>
          <w:rFonts w:ascii="楷体_GB2312" w:eastAsia="楷体_GB2312" w:hAnsi="Times New Roman" w:cs="Times New Roman"/>
          <w:b/>
          <w:sz w:val="24"/>
          <w:szCs w:val="24"/>
        </w:rPr>
      </w:pPr>
    </w:p>
    <w:sectPr w:rsidR="006F5F5B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617" w:rsidRDefault="001B0617">
      <w:r>
        <w:separator/>
      </w:r>
    </w:p>
  </w:endnote>
  <w:endnote w:type="continuationSeparator" w:id="0">
    <w:p w:rsidR="001B0617" w:rsidRDefault="001B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617" w:rsidRDefault="001B0617">
      <w:r>
        <w:separator/>
      </w:r>
    </w:p>
  </w:footnote>
  <w:footnote w:type="continuationSeparator" w:id="0">
    <w:p w:rsidR="001B0617" w:rsidRDefault="001B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F5B" w:rsidRDefault="00570422">
    <w:pPr>
      <w:pStyle w:val="a6"/>
    </w:pPr>
    <w:r>
      <w:rPr>
        <w:rFonts w:ascii="楷体" w:eastAsia="楷体" w:hAnsi="楷体" w:hint="eastAsia"/>
        <w:sz w:val="22"/>
        <w:szCs w:val="28"/>
      </w:rPr>
      <w:t>武汉理工大学第三届“众创·深耕”创业大赛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D66B0"/>
    <w:multiLevelType w:val="singleLevel"/>
    <w:tmpl w:val="567D66B0"/>
    <w:lvl w:ilvl="0">
      <w:start w:val="1"/>
      <w:numFmt w:val="chineseCounting"/>
      <w:pStyle w:val="a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760"/>
    <w:rsid w:val="00010E84"/>
    <w:rsid w:val="00087611"/>
    <w:rsid w:val="00096B8A"/>
    <w:rsid w:val="000C5D73"/>
    <w:rsid w:val="00152B0B"/>
    <w:rsid w:val="00195D22"/>
    <w:rsid w:val="001B0617"/>
    <w:rsid w:val="001E6964"/>
    <w:rsid w:val="00357188"/>
    <w:rsid w:val="00361E10"/>
    <w:rsid w:val="00394D90"/>
    <w:rsid w:val="0054651C"/>
    <w:rsid w:val="005673E4"/>
    <w:rsid w:val="00570422"/>
    <w:rsid w:val="005B2C78"/>
    <w:rsid w:val="005B64A0"/>
    <w:rsid w:val="005E10AA"/>
    <w:rsid w:val="005E2122"/>
    <w:rsid w:val="006542DF"/>
    <w:rsid w:val="006F5F5B"/>
    <w:rsid w:val="007C0915"/>
    <w:rsid w:val="00961FB7"/>
    <w:rsid w:val="009D25F5"/>
    <w:rsid w:val="009D784C"/>
    <w:rsid w:val="00A136D5"/>
    <w:rsid w:val="00A743D8"/>
    <w:rsid w:val="00B40EB0"/>
    <w:rsid w:val="00B66AF2"/>
    <w:rsid w:val="00B92CA5"/>
    <w:rsid w:val="00BA1291"/>
    <w:rsid w:val="00BC5A31"/>
    <w:rsid w:val="00C51E55"/>
    <w:rsid w:val="00CE47C7"/>
    <w:rsid w:val="00D20594"/>
    <w:rsid w:val="00D72F7E"/>
    <w:rsid w:val="00E25760"/>
    <w:rsid w:val="00EA21AC"/>
    <w:rsid w:val="00ED55CE"/>
    <w:rsid w:val="00F249F6"/>
    <w:rsid w:val="00F63D53"/>
    <w:rsid w:val="00F701CF"/>
    <w:rsid w:val="058154E8"/>
    <w:rsid w:val="0D7F7DD4"/>
    <w:rsid w:val="0E0776A9"/>
    <w:rsid w:val="0E4D0BD1"/>
    <w:rsid w:val="0FC507F3"/>
    <w:rsid w:val="11DE0D30"/>
    <w:rsid w:val="12536C5A"/>
    <w:rsid w:val="17E35A60"/>
    <w:rsid w:val="1A01212F"/>
    <w:rsid w:val="1CE95B53"/>
    <w:rsid w:val="1F841B03"/>
    <w:rsid w:val="211436EA"/>
    <w:rsid w:val="2A32261A"/>
    <w:rsid w:val="302F70EC"/>
    <w:rsid w:val="311A234D"/>
    <w:rsid w:val="37C90DAB"/>
    <w:rsid w:val="38F75F9A"/>
    <w:rsid w:val="3BC07336"/>
    <w:rsid w:val="40905D11"/>
    <w:rsid w:val="474818A1"/>
    <w:rsid w:val="488B032C"/>
    <w:rsid w:val="58F93230"/>
    <w:rsid w:val="5C150737"/>
    <w:rsid w:val="6A307BBE"/>
    <w:rsid w:val="6DF60A16"/>
    <w:rsid w:val="6EA863BA"/>
    <w:rsid w:val="6F7A450E"/>
    <w:rsid w:val="6F910E6A"/>
    <w:rsid w:val="75421BFD"/>
    <w:rsid w:val="77C2417F"/>
    <w:rsid w:val="7B2F2948"/>
    <w:rsid w:val="7D827919"/>
    <w:rsid w:val="7E300B0E"/>
    <w:rsid w:val="7E60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379FB"/>
  <w15:docId w15:val="{0DFC80DD-093E-4190-A37B-A86E827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Title"/>
    <w:basedOn w:val="a0"/>
    <w:next w:val="a0"/>
    <w:uiPriority w:val="10"/>
    <w:qFormat/>
    <w:pPr>
      <w:numPr>
        <w:numId w:val="1"/>
      </w:numPr>
      <w:spacing w:line="360" w:lineRule="auto"/>
    </w:pPr>
    <w:rPr>
      <w:rFonts w:ascii="仿宋_GB2312" w:eastAsia="仿宋_GB2312"/>
      <w:b/>
      <w:sz w:val="32"/>
      <w:szCs w:val="32"/>
    </w:rPr>
  </w:style>
  <w:style w:type="character" w:styleId="a8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csgd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9EF34-CA30-48ED-B4BD-5BD63F25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yijing xing</dc:creator>
  <cp:lastModifiedBy>xdy2401@163.com</cp:lastModifiedBy>
  <cp:revision>16</cp:revision>
  <cp:lastPrinted>2016-01-15T05:12:00Z</cp:lastPrinted>
  <dcterms:created xsi:type="dcterms:W3CDTF">2015-12-28T03:30:00Z</dcterms:created>
  <dcterms:modified xsi:type="dcterms:W3CDTF">2018-01-24T09:41:00Z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